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BBB1" w14:textId="77777777" w:rsidR="00EB53CB" w:rsidRPr="00246161" w:rsidRDefault="00000000">
      <w:pPr>
        <w:spacing w:after="20"/>
        <w:jc w:val="center"/>
      </w:pPr>
      <w:r w:rsidRPr="00246161">
        <w:rPr>
          <w:b/>
          <w:bCs/>
          <w:color w:val="1F4E79"/>
          <w:sz w:val="40"/>
          <w:szCs w:val="40"/>
        </w:rPr>
        <w:t>VMRA-SAT</w:t>
      </w:r>
    </w:p>
    <w:p w14:paraId="491BBBB2" w14:textId="77777777" w:rsidR="00EB53CB" w:rsidRPr="00246161" w:rsidRDefault="00000000">
      <w:pPr>
        <w:spacing w:after="20"/>
        <w:jc w:val="center"/>
      </w:pPr>
      <w:r w:rsidRPr="00246161">
        <w:rPr>
          <w:color w:val="2E75B6"/>
        </w:rPr>
        <w:t>Veterinary Medicines Regulatory Authority Self-Assessment Tool</w:t>
      </w:r>
    </w:p>
    <w:p w14:paraId="491BBBB3" w14:textId="77777777" w:rsidR="00EB53CB" w:rsidRPr="00246161" w:rsidRDefault="00000000">
      <w:pPr>
        <w:spacing w:after="100"/>
        <w:jc w:val="center"/>
      </w:pPr>
      <w:r w:rsidRPr="00246161">
        <w:rPr>
          <w:color w:val="CCCCCC"/>
          <w:sz w:val="18"/>
          <w:szCs w:val="18"/>
        </w:rPr>
        <w:t>──────────────────────────────────────────────────</w:t>
      </w:r>
    </w:p>
    <w:p w14:paraId="491BBBB4" w14:textId="77777777" w:rsidR="00EB53CB" w:rsidRPr="00246161" w:rsidRDefault="00000000">
      <w:pPr>
        <w:spacing w:after="200"/>
        <w:jc w:val="center"/>
      </w:pPr>
      <w:r w:rsidRPr="00246161">
        <w:rPr>
          <w:b/>
          <w:bCs/>
          <w:color w:val="1F4E79"/>
          <w:sz w:val="26"/>
          <w:szCs w:val="26"/>
        </w:rPr>
        <w:t>Strengthening Veterinary Medicines Regulation Worldwide</w:t>
      </w:r>
    </w:p>
    <w:p w14:paraId="491BBBB5" w14:textId="77777777" w:rsidR="00EB53CB" w:rsidRPr="00246161" w:rsidRDefault="00000000">
      <w:pPr>
        <w:pStyle w:val="Heading2"/>
      </w:pPr>
      <w:r w:rsidRPr="00246161">
        <w:t>The Challenges</w:t>
      </w:r>
    </w:p>
    <w:p w14:paraId="491BBBB6" w14:textId="1CE32731" w:rsidR="00EB53CB" w:rsidRPr="00246161" w:rsidRDefault="00000000">
      <w:pPr>
        <w:spacing w:after="160"/>
        <w:jc w:val="both"/>
      </w:pPr>
      <w:r w:rsidRPr="00246161">
        <w:t>Veterinary medicines regulation underpins animal health, food safety and the global fight against antimicrobial resistance. Yet across every region, countries face a common set of challenges that weak or fragmented regulatory systems cannot address:</w:t>
      </w:r>
    </w:p>
    <w:p w14:paraId="491BBBB7" w14:textId="40D65D38" w:rsidR="00EB53CB" w:rsidRPr="00246161" w:rsidRDefault="00000000">
      <w:pPr>
        <w:pStyle w:val="ListParagraph"/>
        <w:numPr>
          <w:ilvl w:val="0"/>
          <w:numId w:val="2"/>
        </w:numPr>
        <w:spacing w:after="80"/>
        <w:jc w:val="both"/>
      </w:pPr>
      <w:r w:rsidRPr="00246161">
        <w:t>Antimicrobial resistance is driven in part by the uncontrolled use of veterinary antimicrobials. Without effective registration, pharmacovigilance and market surveillance, antimicrobials reach the market without proper evaluation and are used without monitoring — accelerating the development and spread of resistance.</w:t>
      </w:r>
    </w:p>
    <w:p w14:paraId="491BBBB8" w14:textId="532A39CF" w:rsidR="00EB53CB" w:rsidRPr="00246161" w:rsidRDefault="00000000">
      <w:pPr>
        <w:pStyle w:val="ListParagraph"/>
        <w:numPr>
          <w:ilvl w:val="0"/>
          <w:numId w:val="2"/>
        </w:numPr>
        <w:spacing w:after="80"/>
        <w:jc w:val="both"/>
      </w:pPr>
      <w:r w:rsidRPr="00246161">
        <w:t>Weak oversight empowers criminal networks to flood agricultural markets with substandard</w:t>
      </w:r>
      <w:r w:rsidR="00071DE0" w:rsidRPr="00246161">
        <w:t xml:space="preserve"> and</w:t>
      </w:r>
      <w:r w:rsidRPr="00246161">
        <w:t xml:space="preserve"> falsified</w:t>
      </w:r>
      <w:r w:rsidR="00123E78" w:rsidRPr="00246161">
        <w:t xml:space="preserve"> veterinary products</w:t>
      </w:r>
      <w:r w:rsidRPr="00246161">
        <w:t xml:space="preserve"> (SF</w:t>
      </w:r>
      <w:r w:rsidR="00123E78" w:rsidRPr="00246161">
        <w:t>VPs</w:t>
      </w:r>
      <w:r w:rsidRPr="00246161">
        <w:t>) putting animal health, food safety, and public health at risk.</w:t>
      </w:r>
    </w:p>
    <w:p w14:paraId="491BBBB9" w14:textId="20CCFFFA" w:rsidR="00EB53CB" w:rsidRPr="00246161" w:rsidRDefault="00000000">
      <w:pPr>
        <w:pStyle w:val="ListParagraph"/>
        <w:numPr>
          <w:ilvl w:val="0"/>
          <w:numId w:val="2"/>
        </w:numPr>
        <w:spacing w:after="80"/>
        <w:jc w:val="both"/>
      </w:pPr>
      <w:r w:rsidRPr="00246161">
        <w:t xml:space="preserve">Fragmented and bureaucratic registration pathways </w:t>
      </w:r>
      <w:r w:rsidR="0091045D" w:rsidRPr="00246161">
        <w:t>create</w:t>
      </w:r>
      <w:r w:rsidRPr="00246161">
        <w:t xml:space="preserve"> </w:t>
      </w:r>
      <w:r w:rsidR="0091045D" w:rsidRPr="00246161">
        <w:t>unpredictable</w:t>
      </w:r>
      <w:r w:rsidR="00054C6F" w:rsidRPr="00246161">
        <w:t xml:space="preserve"> and lengthy regulatory processes</w:t>
      </w:r>
      <w:r w:rsidRPr="00246161">
        <w:t xml:space="preserve">, putting off drug manufacturers and creating chronic shortages of essential veterinary therapeutics in </w:t>
      </w:r>
      <w:r w:rsidR="00543423" w:rsidRPr="00246161">
        <w:t>the countries</w:t>
      </w:r>
      <w:r w:rsidRPr="00246161">
        <w:t>.</w:t>
      </w:r>
    </w:p>
    <w:p w14:paraId="491BBBBA" w14:textId="77777777" w:rsidR="00EB53CB" w:rsidRPr="00246161" w:rsidRDefault="00000000">
      <w:pPr>
        <w:pStyle w:val="ListParagraph"/>
        <w:numPr>
          <w:ilvl w:val="0"/>
          <w:numId w:val="2"/>
        </w:numPr>
        <w:spacing w:after="80"/>
        <w:jc w:val="both"/>
      </w:pPr>
      <w:r w:rsidRPr="00246161">
        <w:t>The absence of statutory emergency use authorisation routes delays biological defence responses during transboundary epidemiological outbreaks, leaving countries unable to access vaccines and treatments when they are needed most.</w:t>
      </w:r>
    </w:p>
    <w:p w14:paraId="491BBBBB" w14:textId="1C4F4638" w:rsidR="00EB53CB" w:rsidRPr="00246161" w:rsidRDefault="00000000">
      <w:pPr>
        <w:pStyle w:val="ListParagraph"/>
        <w:numPr>
          <w:ilvl w:val="0"/>
          <w:numId w:val="2"/>
        </w:numPr>
        <w:spacing w:after="80"/>
        <w:jc w:val="both"/>
      </w:pPr>
      <w:r w:rsidRPr="00246161">
        <w:t>Failure to set and monitor withdrawal periods results in harmful residue levels in food of animal origin, threatening consumer health</w:t>
      </w:r>
      <w:r w:rsidR="00D41162" w:rsidRPr="00246161">
        <w:t>, AMR</w:t>
      </w:r>
      <w:r w:rsidRPr="00246161">
        <w:t xml:space="preserve"> and undermining trade access for exporting countries.</w:t>
      </w:r>
    </w:p>
    <w:p w14:paraId="491BBBBC" w14:textId="3647A1F0" w:rsidR="00EB53CB" w:rsidRPr="00246161" w:rsidRDefault="00000000">
      <w:pPr>
        <w:pStyle w:val="ListParagraph"/>
        <w:numPr>
          <w:ilvl w:val="0"/>
          <w:numId w:val="2"/>
        </w:numPr>
        <w:spacing w:after="80"/>
        <w:jc w:val="both"/>
      </w:pPr>
      <w:r w:rsidRPr="00246161">
        <w:t>Many countries lack the workforce capacity and institutional structures needed to regulate veterinary medicines effectively</w:t>
      </w:r>
      <w:r w:rsidR="00805A27" w:rsidRPr="00246161">
        <w:t xml:space="preserve">, </w:t>
      </w:r>
      <w:r w:rsidR="003E3EA9" w:rsidRPr="00246161">
        <w:t>hence the meagre human resources are thinly sp</w:t>
      </w:r>
      <w:r w:rsidR="00761B1E" w:rsidRPr="00246161">
        <w:t>read to cover all regulatory functions</w:t>
      </w:r>
      <w:r w:rsidR="00185BD1" w:rsidRPr="00246161">
        <w:t xml:space="preserve"> as they </w:t>
      </w:r>
      <w:r w:rsidR="00E745E9" w:rsidRPr="00246161">
        <w:t xml:space="preserve">don’t have a mechanism to identify </w:t>
      </w:r>
      <w:r w:rsidR="00185BD1" w:rsidRPr="00246161">
        <w:t>trusted regulators who have already approved the product</w:t>
      </w:r>
      <w:r w:rsidR="0037312C" w:rsidRPr="00246161">
        <w:t xml:space="preserve"> that they can rely on.</w:t>
      </w:r>
    </w:p>
    <w:p w14:paraId="491BBBBD" w14:textId="42DBBD2B" w:rsidR="00EB53CB" w:rsidRPr="00246161" w:rsidRDefault="00000000">
      <w:pPr>
        <w:spacing w:before="100" w:after="160"/>
        <w:jc w:val="both"/>
      </w:pPr>
      <w:r w:rsidRPr="00246161">
        <w:t>These challenges are interconnected. A country with weak registration processes is also likely to struggle with SF</w:t>
      </w:r>
      <w:r w:rsidR="0037312C" w:rsidRPr="00246161">
        <w:t>VP</w:t>
      </w:r>
      <w:r w:rsidR="0065257E" w:rsidRPr="00246161">
        <w:t>s</w:t>
      </w:r>
      <w:r w:rsidRPr="00246161">
        <w:t>, AMR monitoring and residue control. Whilst WOAH’s Performance of Veterinary Services (PVS) Pathway evaluates the broader performance of Veterinary Services and the Veterinary Legislation Support Programme (VLSP) supports legislative reform, neither provides a detailed, function-level diagnostic specifically focused on the regulation of veterinary medicinal products.</w:t>
      </w:r>
    </w:p>
    <w:p w14:paraId="491BBBBE" w14:textId="77777777" w:rsidR="00EB53CB" w:rsidRPr="00246161" w:rsidRDefault="00000000">
      <w:pPr>
        <w:pStyle w:val="Heading2"/>
      </w:pPr>
      <w:r w:rsidRPr="00246161">
        <w:t>The Solution: VMRA-SAT</w:t>
      </w:r>
    </w:p>
    <w:p w14:paraId="491BBBBF" w14:textId="77777777" w:rsidR="00EB53CB" w:rsidRPr="00246161" w:rsidRDefault="00000000">
      <w:pPr>
        <w:spacing w:after="160"/>
        <w:jc w:val="both"/>
      </w:pPr>
      <w:r w:rsidRPr="00246161">
        <w:t>The VMRA-SAT is a structured self-assessment tool, modelled on the WHO Global Benchmarking Tool for human medicines, that enables national veterinary medicines regulatory authorities to evaluate their maturity across eight core regulatory functions:</w:t>
      </w:r>
    </w:p>
    <w:p w14:paraId="491BBBC0" w14:textId="77777777" w:rsidR="00EB53CB" w:rsidRPr="00246161" w:rsidRDefault="00000000">
      <w:pPr>
        <w:pStyle w:val="ListParagraph"/>
        <w:numPr>
          <w:ilvl w:val="0"/>
          <w:numId w:val="2"/>
        </w:numPr>
        <w:spacing w:after="80"/>
        <w:jc w:val="both"/>
      </w:pPr>
      <w:r w:rsidRPr="00246161">
        <w:t>National regulatory system governance</w:t>
      </w:r>
    </w:p>
    <w:p w14:paraId="491BBBC1" w14:textId="77777777" w:rsidR="00EB53CB" w:rsidRPr="00246161" w:rsidRDefault="00000000">
      <w:pPr>
        <w:pStyle w:val="ListParagraph"/>
        <w:numPr>
          <w:ilvl w:val="0"/>
          <w:numId w:val="2"/>
        </w:numPr>
        <w:spacing w:after="80"/>
        <w:jc w:val="both"/>
      </w:pPr>
      <w:r w:rsidRPr="00246161">
        <w:t>Registration and marketing authorisation</w:t>
      </w:r>
    </w:p>
    <w:p w14:paraId="491BBBC2" w14:textId="77777777" w:rsidR="00EB53CB" w:rsidRPr="00246161" w:rsidRDefault="00000000">
      <w:pPr>
        <w:pStyle w:val="ListParagraph"/>
        <w:numPr>
          <w:ilvl w:val="0"/>
          <w:numId w:val="2"/>
        </w:numPr>
        <w:spacing w:after="80"/>
        <w:jc w:val="both"/>
      </w:pPr>
      <w:r w:rsidRPr="00246161">
        <w:t>Pharmacovigilance</w:t>
      </w:r>
    </w:p>
    <w:p w14:paraId="491BBBC3" w14:textId="77777777" w:rsidR="00EB53CB" w:rsidRPr="00246161" w:rsidRDefault="00000000">
      <w:pPr>
        <w:pStyle w:val="ListParagraph"/>
        <w:numPr>
          <w:ilvl w:val="0"/>
          <w:numId w:val="2"/>
        </w:numPr>
        <w:spacing w:after="80"/>
        <w:jc w:val="both"/>
      </w:pPr>
      <w:r w:rsidRPr="00246161">
        <w:t>Market surveillance and control</w:t>
      </w:r>
    </w:p>
    <w:p w14:paraId="491BBBC4" w14:textId="77777777" w:rsidR="00EB53CB" w:rsidRPr="00246161" w:rsidRDefault="00000000">
      <w:pPr>
        <w:pStyle w:val="ListParagraph"/>
        <w:numPr>
          <w:ilvl w:val="0"/>
          <w:numId w:val="2"/>
        </w:numPr>
        <w:spacing w:after="80"/>
        <w:jc w:val="both"/>
      </w:pPr>
      <w:r w:rsidRPr="00246161">
        <w:lastRenderedPageBreak/>
        <w:t>Licensing of establishments</w:t>
      </w:r>
    </w:p>
    <w:p w14:paraId="491BBBC5" w14:textId="77777777" w:rsidR="00EB53CB" w:rsidRPr="00246161" w:rsidRDefault="00000000">
      <w:pPr>
        <w:pStyle w:val="ListParagraph"/>
        <w:numPr>
          <w:ilvl w:val="0"/>
          <w:numId w:val="2"/>
        </w:numPr>
        <w:spacing w:after="80"/>
        <w:jc w:val="both"/>
      </w:pPr>
      <w:r w:rsidRPr="00246161">
        <w:t>Regulatory inspection</w:t>
      </w:r>
    </w:p>
    <w:p w14:paraId="491BBBC6" w14:textId="77777777" w:rsidR="00EB53CB" w:rsidRPr="00246161" w:rsidRDefault="00000000">
      <w:pPr>
        <w:pStyle w:val="ListParagraph"/>
        <w:numPr>
          <w:ilvl w:val="0"/>
          <w:numId w:val="2"/>
        </w:numPr>
        <w:spacing w:after="80"/>
        <w:jc w:val="both"/>
      </w:pPr>
      <w:r w:rsidRPr="00246161">
        <w:t>Laboratory testing</w:t>
      </w:r>
    </w:p>
    <w:p w14:paraId="491BBBC7" w14:textId="77777777" w:rsidR="00EB53CB" w:rsidRPr="00246161" w:rsidRDefault="00000000">
      <w:pPr>
        <w:pStyle w:val="ListParagraph"/>
        <w:numPr>
          <w:ilvl w:val="0"/>
          <w:numId w:val="2"/>
        </w:numPr>
        <w:spacing w:after="80"/>
        <w:jc w:val="both"/>
      </w:pPr>
      <w:r w:rsidRPr="00246161">
        <w:t>Batch release of biological products</w:t>
      </w:r>
    </w:p>
    <w:p w14:paraId="491BBBC8" w14:textId="77777777" w:rsidR="00EB53CB" w:rsidRPr="00246161" w:rsidRDefault="00000000">
      <w:pPr>
        <w:spacing w:after="160"/>
        <w:jc w:val="both"/>
      </w:pPr>
      <w:r w:rsidRPr="00246161">
        <w:t>The tool provides a clear, structured pathway from initial capability to advanced regulatory performance, enabling countries to identify their strengths and gaps, agree priorities, develop an institutional development plan, and track progress over time.</w:t>
      </w:r>
    </w:p>
    <w:p w14:paraId="491BBBC9" w14:textId="77777777" w:rsidR="00EB53CB" w:rsidRPr="00246161" w:rsidRDefault="00000000">
      <w:pPr>
        <w:pStyle w:val="Heading2"/>
      </w:pPr>
      <w:r w:rsidRPr="00246161">
        <w:t>Key Features</w:t>
      </w:r>
    </w:p>
    <w:p w14:paraId="491BBBCA" w14:textId="42A7A81E" w:rsidR="00EB53CB" w:rsidRPr="00246161" w:rsidRDefault="00000000">
      <w:pPr>
        <w:pStyle w:val="ListParagraph"/>
        <w:numPr>
          <w:ilvl w:val="0"/>
          <w:numId w:val="2"/>
        </w:numPr>
        <w:spacing w:after="80"/>
        <w:jc w:val="both"/>
      </w:pPr>
      <w:r w:rsidRPr="00246161">
        <w:t xml:space="preserve">Voluntary and country-owned </w:t>
      </w:r>
      <w:r w:rsidR="00A71B14" w:rsidRPr="00246161">
        <w:t>-</w:t>
      </w:r>
      <w:r w:rsidRPr="00246161">
        <w:t xml:space="preserve"> results remain with the country and are not published or used for ranking.</w:t>
      </w:r>
    </w:p>
    <w:p w14:paraId="491BBBCB" w14:textId="0EE2C982" w:rsidR="00EB53CB" w:rsidRPr="00246161" w:rsidRDefault="00000000">
      <w:pPr>
        <w:pStyle w:val="ListParagraph"/>
        <w:numPr>
          <w:ilvl w:val="0"/>
          <w:numId w:val="2"/>
        </w:numPr>
        <w:spacing w:after="80"/>
        <w:jc w:val="both"/>
      </w:pPr>
      <w:r w:rsidRPr="00246161">
        <w:t xml:space="preserve">Self-assessment, not external audit </w:t>
      </w:r>
      <w:r w:rsidR="000C7EF8" w:rsidRPr="00246161">
        <w:t>-</w:t>
      </w:r>
      <w:r w:rsidRPr="00246161">
        <w:t xml:space="preserve"> countries control the process and the pace.</w:t>
      </w:r>
    </w:p>
    <w:p w14:paraId="491BBBCC" w14:textId="547FD6C6" w:rsidR="00EB53CB" w:rsidRPr="00246161" w:rsidRDefault="00000000">
      <w:pPr>
        <w:pStyle w:val="ListParagraph"/>
        <w:numPr>
          <w:ilvl w:val="0"/>
          <w:numId w:val="2"/>
        </w:numPr>
        <w:spacing w:after="80"/>
        <w:jc w:val="both"/>
      </w:pPr>
      <w:r w:rsidRPr="00246161">
        <w:t xml:space="preserve">Complementary to PVS and VLSP </w:t>
      </w:r>
      <w:r w:rsidR="000C7EF8" w:rsidRPr="00246161">
        <w:t>-</w:t>
      </w:r>
      <w:r w:rsidRPr="00246161">
        <w:t xml:space="preserve"> fills the specific gap in veterinary medicines regulatory assessment.</w:t>
      </w:r>
    </w:p>
    <w:p w14:paraId="491BBBCD" w14:textId="77777777" w:rsidR="00EB53CB" w:rsidRPr="00246161" w:rsidRDefault="00000000">
      <w:pPr>
        <w:pStyle w:val="ListParagraph"/>
        <w:numPr>
          <w:ilvl w:val="0"/>
          <w:numId w:val="2"/>
        </w:numPr>
        <w:spacing w:after="80"/>
        <w:jc w:val="both"/>
      </w:pPr>
      <w:r w:rsidRPr="00246161">
        <w:t>Two versions available — a comprehensive desktop tool for detailed assessment and a simpler web-based preliminary tool for countries wanting a lighter-touch starting point.</w:t>
      </w:r>
    </w:p>
    <w:p w14:paraId="491BBBCE" w14:textId="2E91F8E7" w:rsidR="00EB53CB" w:rsidRPr="00246161" w:rsidRDefault="00000000">
      <w:pPr>
        <w:pStyle w:val="ListParagraph"/>
        <w:numPr>
          <w:ilvl w:val="0"/>
          <w:numId w:val="2"/>
        </w:numPr>
        <w:spacing w:after="80"/>
        <w:jc w:val="both"/>
      </w:pPr>
      <w:r w:rsidRPr="00246161">
        <w:t xml:space="preserve">Developed with WOAH, WHO and FAO support </w:t>
      </w:r>
      <w:r w:rsidR="000C7EF8" w:rsidRPr="00246161">
        <w:t>-</w:t>
      </w:r>
      <w:r w:rsidRPr="00246161">
        <w:t xml:space="preserve"> aligned with existing international frameworks and standards.</w:t>
      </w:r>
    </w:p>
    <w:p w14:paraId="491BBBCF" w14:textId="77777777" w:rsidR="00EB53CB" w:rsidRPr="00246161" w:rsidRDefault="00000000">
      <w:r w:rsidRPr="00246161">
        <w:br w:type="page"/>
      </w:r>
    </w:p>
    <w:p w14:paraId="491BBBD0" w14:textId="77777777" w:rsidR="00EB53CB" w:rsidRPr="00246161" w:rsidRDefault="00000000">
      <w:pPr>
        <w:pStyle w:val="Heading2"/>
      </w:pPr>
      <w:r w:rsidRPr="00246161">
        <w:lastRenderedPageBreak/>
        <w:t>How the VMRA-SAT Addresses the Challenges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EB53CB" w:rsidRPr="00246161" w14:paraId="491BBBD3" w14:textId="77777777">
        <w:tc>
          <w:tcPr>
            <w:tcW w:w="2800" w:type="dxa"/>
            <w:tcBorders>
              <w:top w:val="single" w:sz="1" w:space="0" w:color="1F4E79"/>
              <w:left w:val="single" w:sz="1" w:space="0" w:color="1F4E79"/>
              <w:bottom w:val="single" w:sz="1" w:space="0" w:color="1F4E79"/>
              <w:right w:val="single" w:sz="1" w:space="0" w:color="1F4E79"/>
            </w:tcBorders>
            <w:shd w:val="clear" w:color="auto" w:fill="1F4E79"/>
            <w:tcMar>
              <w:top w:w="60" w:type="dxa"/>
              <w:left w:w="120" w:type="dxa"/>
              <w:bottom w:w="60" w:type="dxa"/>
              <w:right w:w="120" w:type="dxa"/>
            </w:tcMar>
          </w:tcPr>
          <w:p w14:paraId="491BBBD1" w14:textId="77777777" w:rsidR="00EB53CB" w:rsidRPr="00246161" w:rsidRDefault="00000000">
            <w:r w:rsidRPr="00246161">
              <w:rPr>
                <w:b/>
                <w:bCs/>
                <w:color w:val="FFFFFF"/>
                <w:sz w:val="20"/>
                <w:szCs w:val="20"/>
              </w:rPr>
              <w:t>Challenge</w:t>
            </w:r>
          </w:p>
        </w:tc>
        <w:tc>
          <w:tcPr>
            <w:tcW w:w="6560" w:type="dxa"/>
            <w:tcBorders>
              <w:top w:val="single" w:sz="1" w:space="0" w:color="1F4E79"/>
              <w:left w:val="single" w:sz="1" w:space="0" w:color="1F4E79"/>
              <w:bottom w:val="single" w:sz="1" w:space="0" w:color="1F4E79"/>
              <w:right w:val="single" w:sz="1" w:space="0" w:color="1F4E79"/>
            </w:tcBorders>
            <w:shd w:val="clear" w:color="auto" w:fill="1F4E79"/>
            <w:tcMar>
              <w:top w:w="60" w:type="dxa"/>
              <w:left w:w="120" w:type="dxa"/>
              <w:bottom w:w="60" w:type="dxa"/>
              <w:right w:w="120" w:type="dxa"/>
            </w:tcMar>
          </w:tcPr>
          <w:p w14:paraId="491BBBD2" w14:textId="77777777" w:rsidR="00EB53CB" w:rsidRPr="00246161" w:rsidRDefault="00000000">
            <w:r w:rsidRPr="00246161">
              <w:rPr>
                <w:b/>
                <w:bCs/>
                <w:color w:val="FFFFFF"/>
                <w:sz w:val="20"/>
                <w:szCs w:val="20"/>
              </w:rPr>
              <w:t>How VMRA-SAT Helps</w:t>
            </w:r>
          </w:p>
        </w:tc>
      </w:tr>
      <w:tr w:rsidR="00EB53CB" w:rsidRPr="00246161" w14:paraId="491BBBD6"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D4" w14:textId="77777777" w:rsidR="00EB53CB" w:rsidRPr="00246161" w:rsidRDefault="00000000">
            <w:pPr>
              <w:spacing w:after="40"/>
            </w:pPr>
            <w:r w:rsidRPr="00246161">
              <w:rPr>
                <w:b/>
                <w:bCs/>
                <w:sz w:val="20"/>
                <w:szCs w:val="20"/>
              </w:rPr>
              <w:t>Antimicrobial resistance</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D5" w14:textId="77777777" w:rsidR="00EB53CB" w:rsidRPr="00246161" w:rsidRDefault="00000000">
            <w:pPr>
              <w:spacing w:after="40"/>
            </w:pPr>
            <w:r w:rsidRPr="00246161">
              <w:rPr>
                <w:sz w:val="20"/>
                <w:szCs w:val="20"/>
              </w:rPr>
              <w:t>Assesses the regulatory functions that control veterinary antimicrobial use: registration, pharmacovigilance, market surveillance, and inspection. Directly supports the Global Action Plan on AMR and country-level National Action Plans.</w:t>
            </w:r>
          </w:p>
        </w:tc>
      </w:tr>
      <w:tr w:rsidR="00EB53CB" w:rsidRPr="00246161" w14:paraId="491BBBD9"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D7" w14:textId="0170DF4E" w:rsidR="00EB53CB" w:rsidRPr="00246161" w:rsidRDefault="00000000">
            <w:pPr>
              <w:spacing w:after="40"/>
            </w:pPr>
            <w:r w:rsidRPr="00246161">
              <w:rPr>
                <w:b/>
                <w:bCs/>
                <w:sz w:val="20"/>
                <w:szCs w:val="20"/>
              </w:rPr>
              <w:t xml:space="preserve">Substandard and falsified </w:t>
            </w:r>
            <w:r w:rsidR="00F53026" w:rsidRPr="00246161">
              <w:rPr>
                <w:b/>
                <w:bCs/>
                <w:sz w:val="20"/>
                <w:szCs w:val="20"/>
              </w:rPr>
              <w:t xml:space="preserve">veterinary </w:t>
            </w:r>
            <w:r w:rsidRPr="00246161">
              <w:rPr>
                <w:b/>
                <w:bCs/>
                <w:sz w:val="20"/>
                <w:szCs w:val="20"/>
              </w:rPr>
              <w:t>products</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D8" w14:textId="47C6AAE2" w:rsidR="00EB53CB" w:rsidRPr="00246161" w:rsidRDefault="00000000">
            <w:pPr>
              <w:spacing w:after="40"/>
            </w:pPr>
            <w:r w:rsidRPr="00246161">
              <w:rPr>
                <w:sz w:val="20"/>
                <w:szCs w:val="20"/>
              </w:rPr>
              <w:t>Evaluates market surveillance capacity, laboratory testing, licensing of establishments and regulatory inspection</w:t>
            </w:r>
            <w:r w:rsidR="00F53026" w:rsidRPr="00246161">
              <w:rPr>
                <w:sz w:val="20"/>
                <w:szCs w:val="20"/>
              </w:rPr>
              <w:t>. T</w:t>
            </w:r>
            <w:r w:rsidRPr="00246161">
              <w:rPr>
                <w:sz w:val="20"/>
                <w:szCs w:val="20"/>
              </w:rPr>
              <w:t>he functions that detect and remove SF</w:t>
            </w:r>
            <w:r w:rsidR="00917C44" w:rsidRPr="00246161">
              <w:rPr>
                <w:sz w:val="20"/>
                <w:szCs w:val="20"/>
              </w:rPr>
              <w:t>VPs</w:t>
            </w:r>
            <w:r w:rsidRPr="00246161">
              <w:rPr>
                <w:sz w:val="20"/>
                <w:szCs w:val="20"/>
              </w:rPr>
              <w:t xml:space="preserve"> from the market.</w:t>
            </w:r>
          </w:p>
        </w:tc>
      </w:tr>
      <w:tr w:rsidR="00EB53CB" w:rsidRPr="00246161" w14:paraId="491BBBDC"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DA" w14:textId="1AD65E07" w:rsidR="00EB53CB" w:rsidRPr="00246161" w:rsidRDefault="00917C44">
            <w:pPr>
              <w:spacing w:after="40"/>
            </w:pPr>
            <w:r w:rsidRPr="00246161">
              <w:rPr>
                <w:b/>
                <w:bCs/>
                <w:sz w:val="20"/>
                <w:szCs w:val="20"/>
              </w:rPr>
              <w:t>VMP availability</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DB" w14:textId="05334840" w:rsidR="00EB53CB" w:rsidRPr="00246161" w:rsidRDefault="00000000">
            <w:pPr>
              <w:spacing w:after="40"/>
            </w:pPr>
            <w:r w:rsidRPr="00246161">
              <w:rPr>
                <w:sz w:val="20"/>
                <w:szCs w:val="20"/>
              </w:rPr>
              <w:t xml:space="preserve">Identifies bottlenecks in registration and marketing authorisation processes. Enables countries to streamline pathways without compromising </w:t>
            </w:r>
            <w:r w:rsidR="00917C44" w:rsidRPr="00246161">
              <w:rPr>
                <w:sz w:val="20"/>
                <w:szCs w:val="20"/>
              </w:rPr>
              <w:t xml:space="preserve">quality, </w:t>
            </w:r>
            <w:r w:rsidRPr="00246161">
              <w:rPr>
                <w:sz w:val="20"/>
                <w:szCs w:val="20"/>
              </w:rPr>
              <w:t>safety</w:t>
            </w:r>
            <w:r w:rsidR="00917C44" w:rsidRPr="00246161">
              <w:rPr>
                <w:sz w:val="20"/>
                <w:szCs w:val="20"/>
              </w:rPr>
              <w:t xml:space="preserve"> and efficacy</w:t>
            </w:r>
            <w:r w:rsidRPr="00246161">
              <w:rPr>
                <w:sz w:val="20"/>
                <w:szCs w:val="20"/>
              </w:rPr>
              <w:t>.</w:t>
            </w:r>
          </w:p>
        </w:tc>
      </w:tr>
      <w:tr w:rsidR="00EB53CB" w:rsidRPr="00246161" w14:paraId="491BBBDF"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DD" w14:textId="77777777" w:rsidR="00EB53CB" w:rsidRPr="00246161" w:rsidRDefault="00000000">
            <w:pPr>
              <w:spacing w:after="40"/>
            </w:pPr>
            <w:r w:rsidRPr="00246161">
              <w:rPr>
                <w:b/>
                <w:bCs/>
                <w:sz w:val="20"/>
                <w:szCs w:val="20"/>
              </w:rPr>
              <w:t>Emergency preparedness</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DE" w14:textId="77777777" w:rsidR="00EB53CB" w:rsidRPr="00246161" w:rsidRDefault="00000000">
            <w:pPr>
              <w:spacing w:after="40"/>
            </w:pPr>
            <w:r w:rsidRPr="00246161">
              <w:rPr>
                <w:sz w:val="20"/>
                <w:szCs w:val="20"/>
              </w:rPr>
              <w:t>Assesses whether emergency use authorisation pathways exist and function. Enables countries to strengthen preparedness before an outbreak occurs.</w:t>
            </w:r>
          </w:p>
        </w:tc>
      </w:tr>
      <w:tr w:rsidR="00EB53CB" w:rsidRPr="00246161" w14:paraId="491BBBE2"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E0" w14:textId="77777777" w:rsidR="00EB53CB" w:rsidRPr="00246161" w:rsidRDefault="00000000">
            <w:pPr>
              <w:spacing w:after="40"/>
            </w:pPr>
            <w:r w:rsidRPr="00246161">
              <w:rPr>
                <w:b/>
                <w:bCs/>
                <w:sz w:val="20"/>
                <w:szCs w:val="20"/>
              </w:rPr>
              <w:t>Food safety and trade</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E1" w14:textId="099A34C3" w:rsidR="00EB53CB" w:rsidRPr="00246161" w:rsidRDefault="00000000">
            <w:pPr>
              <w:spacing w:after="40"/>
            </w:pPr>
            <w:r w:rsidRPr="00246161">
              <w:rPr>
                <w:sz w:val="20"/>
                <w:szCs w:val="20"/>
              </w:rPr>
              <w:t>Evaluates pharmacovigilance, residue monitoring and inspection functions that protect consumers and maintain trade access.</w:t>
            </w:r>
          </w:p>
        </w:tc>
      </w:tr>
      <w:tr w:rsidR="00EB53CB" w:rsidRPr="00246161" w14:paraId="491BBBE5"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E3" w14:textId="77777777" w:rsidR="00EB53CB" w:rsidRPr="00246161" w:rsidRDefault="00000000">
            <w:pPr>
              <w:spacing w:after="40"/>
            </w:pPr>
            <w:r w:rsidRPr="00246161">
              <w:rPr>
                <w:b/>
                <w:bCs/>
                <w:sz w:val="20"/>
                <w:szCs w:val="20"/>
              </w:rPr>
              <w:t>Workforce capacity</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BBBE4" w14:textId="77777777" w:rsidR="00EB53CB" w:rsidRPr="00246161" w:rsidRDefault="00000000">
            <w:pPr>
              <w:spacing w:after="40"/>
            </w:pPr>
            <w:r w:rsidRPr="00246161">
              <w:rPr>
                <w:sz w:val="20"/>
                <w:szCs w:val="20"/>
              </w:rPr>
              <w:t>Provides evidence of specific capacity gaps that can be used to justify investment in training, recruitment, and institutional development.</w:t>
            </w:r>
          </w:p>
        </w:tc>
      </w:tr>
    </w:tbl>
    <w:p w14:paraId="491BBBE6" w14:textId="77777777" w:rsidR="00EB53CB" w:rsidRPr="00246161" w:rsidRDefault="00000000">
      <w:pPr>
        <w:pStyle w:val="Heading2"/>
      </w:pPr>
      <w:r w:rsidRPr="00246161">
        <w:t>Evidence from Pilot Countries</w:t>
      </w:r>
    </w:p>
    <w:p w14:paraId="491BBBE7" w14:textId="57F783E0" w:rsidR="00EB53CB" w:rsidRPr="00246161" w:rsidRDefault="00000000">
      <w:pPr>
        <w:spacing w:after="160"/>
        <w:jc w:val="both"/>
      </w:pPr>
      <w:r w:rsidRPr="00246161">
        <w:t>The VMRA-SAT has been piloted in 1</w:t>
      </w:r>
      <w:r w:rsidR="00FF5EC4">
        <w:t>1</w:t>
      </w:r>
      <w:r w:rsidRPr="00246161">
        <w:t xml:space="preserve"> countries across four WOAH regions, strategically selected for diversity of regulatory maturity, geography, and income level:</w:t>
      </w:r>
    </w:p>
    <w:p w14:paraId="491BBBE8" w14:textId="7BCD0000" w:rsidR="00EB53CB" w:rsidRPr="00B46394" w:rsidRDefault="00000000">
      <w:pPr>
        <w:pStyle w:val="ListParagraph"/>
        <w:numPr>
          <w:ilvl w:val="0"/>
          <w:numId w:val="2"/>
        </w:numPr>
        <w:spacing w:after="80"/>
        <w:jc w:val="both"/>
        <w:rPr>
          <w:lang w:val="es-ES_tradnl"/>
        </w:rPr>
      </w:pPr>
      <w:r w:rsidRPr="005E2B77">
        <w:rPr>
          <w:b/>
          <w:bCs/>
          <w:lang w:val="es-ES_tradnl"/>
        </w:rPr>
        <w:t>Africa</w:t>
      </w:r>
      <w:r w:rsidRPr="00B46394">
        <w:rPr>
          <w:lang w:val="es-ES_tradnl"/>
        </w:rPr>
        <w:t>: Rwanda, Botswana, Kenya, Tanzania, Uganda, Zambia</w:t>
      </w:r>
      <w:r w:rsidR="00246161" w:rsidRPr="00B46394">
        <w:rPr>
          <w:lang w:val="es-ES_tradnl"/>
        </w:rPr>
        <w:t xml:space="preserve"> (part)</w:t>
      </w:r>
    </w:p>
    <w:p w14:paraId="491BBBE9" w14:textId="77777777" w:rsidR="00EB53CB" w:rsidRPr="00246161" w:rsidRDefault="00000000">
      <w:pPr>
        <w:pStyle w:val="ListParagraph"/>
        <w:numPr>
          <w:ilvl w:val="0"/>
          <w:numId w:val="2"/>
        </w:numPr>
        <w:spacing w:after="80"/>
        <w:jc w:val="both"/>
      </w:pPr>
      <w:r w:rsidRPr="005E2B77">
        <w:rPr>
          <w:b/>
          <w:bCs/>
        </w:rPr>
        <w:t>Americas</w:t>
      </w:r>
      <w:r w:rsidRPr="00246161">
        <w:t>: Mexico, Chile</w:t>
      </w:r>
    </w:p>
    <w:p w14:paraId="491BBBEA" w14:textId="51BCCC8A" w:rsidR="00EB53CB" w:rsidRPr="00246161" w:rsidRDefault="00000000">
      <w:pPr>
        <w:pStyle w:val="ListParagraph"/>
        <w:numPr>
          <w:ilvl w:val="0"/>
          <w:numId w:val="2"/>
        </w:numPr>
        <w:spacing w:after="80"/>
        <w:jc w:val="both"/>
      </w:pPr>
      <w:r w:rsidRPr="005E2B77">
        <w:rPr>
          <w:b/>
          <w:bCs/>
        </w:rPr>
        <w:t>Asia and Pacific</w:t>
      </w:r>
      <w:r w:rsidRPr="00246161">
        <w:t>: Australia, Thailand</w:t>
      </w:r>
      <w:r w:rsidR="00246161" w:rsidRPr="00246161">
        <w:t xml:space="preserve"> </w:t>
      </w:r>
    </w:p>
    <w:p w14:paraId="491BBBEB" w14:textId="1CD3E936" w:rsidR="00EB53CB" w:rsidRPr="00246161" w:rsidRDefault="00000000">
      <w:pPr>
        <w:pStyle w:val="ListParagraph"/>
        <w:numPr>
          <w:ilvl w:val="0"/>
          <w:numId w:val="2"/>
        </w:numPr>
        <w:spacing w:after="80"/>
        <w:jc w:val="both"/>
      </w:pPr>
      <w:r w:rsidRPr="005E2B77">
        <w:rPr>
          <w:b/>
          <w:bCs/>
        </w:rPr>
        <w:t>Europe</w:t>
      </w:r>
      <w:r w:rsidRPr="00246161">
        <w:t>: United Kingdom, France</w:t>
      </w:r>
    </w:p>
    <w:p w14:paraId="491BBBEC" w14:textId="5C60CE86" w:rsidR="00EB53CB" w:rsidRPr="00246161" w:rsidRDefault="00000000">
      <w:pPr>
        <w:spacing w:after="160"/>
        <w:jc w:val="both"/>
      </w:pPr>
      <w:r w:rsidRPr="00246161">
        <w:t>Pilot countries report that the tool provides an actionable roadmap for improvement, helps make the case for targeted investment in regulatory capacity and offers a common language for discussing regulatory maturity with partners and donors.</w:t>
      </w:r>
    </w:p>
    <w:p w14:paraId="491BBBED" w14:textId="77777777" w:rsidR="00EB53CB" w:rsidRPr="00246161" w:rsidRDefault="00000000">
      <w:pPr>
        <w:pStyle w:val="Heading2"/>
      </w:pPr>
      <w:r w:rsidRPr="00246161">
        <w:t>Why Adoption by WOAH Matters</w:t>
      </w:r>
    </w:p>
    <w:p w14:paraId="491BBBEE" w14:textId="77777777" w:rsidR="00EB53CB" w:rsidRPr="00246161" w:rsidRDefault="00000000">
      <w:pPr>
        <w:pStyle w:val="ListParagraph"/>
        <w:numPr>
          <w:ilvl w:val="0"/>
          <w:numId w:val="2"/>
        </w:numPr>
        <w:spacing w:after="80"/>
        <w:jc w:val="both"/>
      </w:pPr>
      <w:r w:rsidRPr="00246161">
        <w:t>Establishes a global standard for veterinary medicines regulatory assessment, equivalent to the WHO GBT for human medicines.</w:t>
      </w:r>
    </w:p>
    <w:p w14:paraId="491BBBEF" w14:textId="77777777" w:rsidR="00EB53CB" w:rsidRPr="00246161" w:rsidRDefault="00000000">
      <w:pPr>
        <w:pStyle w:val="ListParagraph"/>
        <w:numPr>
          <w:ilvl w:val="0"/>
          <w:numId w:val="2"/>
        </w:numPr>
        <w:spacing w:after="80"/>
        <w:jc w:val="both"/>
      </w:pPr>
      <w:r w:rsidRPr="00246161">
        <w:t>Enables mutual reliance and regional harmonisation by providing comparable maturity assessments across countries.</w:t>
      </w:r>
    </w:p>
    <w:p w14:paraId="491BBBF0" w14:textId="77777777" w:rsidR="00EB53CB" w:rsidRPr="00246161" w:rsidRDefault="00000000">
      <w:pPr>
        <w:pStyle w:val="ListParagraph"/>
        <w:numPr>
          <w:ilvl w:val="0"/>
          <w:numId w:val="2"/>
        </w:numPr>
        <w:spacing w:after="80"/>
        <w:jc w:val="both"/>
      </w:pPr>
      <w:r w:rsidRPr="00246161">
        <w:t>Directly supports the WOAH Strategy on AMR, the Global Action Plan on AMR, and the 2024 UN Political Declaration on AMR.</w:t>
      </w:r>
    </w:p>
    <w:p w14:paraId="491BBBF1" w14:textId="77777777" w:rsidR="00EB53CB" w:rsidRPr="00246161" w:rsidRDefault="00000000">
      <w:pPr>
        <w:pStyle w:val="ListParagraph"/>
        <w:numPr>
          <w:ilvl w:val="0"/>
          <w:numId w:val="2"/>
        </w:numPr>
        <w:spacing w:after="80"/>
        <w:jc w:val="both"/>
      </w:pPr>
      <w:r w:rsidRPr="00246161">
        <w:t>Helps Member Countries mobilise donor funding by providing evidence-based assessments of regulatory needs.</w:t>
      </w:r>
    </w:p>
    <w:p w14:paraId="491BBBF2" w14:textId="2DF7D1C1" w:rsidR="00EB53CB" w:rsidRPr="00246161" w:rsidRDefault="00C03E55">
      <w:pPr>
        <w:pStyle w:val="ListParagraph"/>
        <w:numPr>
          <w:ilvl w:val="0"/>
          <w:numId w:val="2"/>
        </w:numPr>
        <w:spacing w:after="80"/>
        <w:jc w:val="both"/>
      </w:pPr>
      <w:r>
        <w:t>Reinforces</w:t>
      </w:r>
      <w:r w:rsidR="00000000" w:rsidRPr="00246161">
        <w:t xml:space="preserve"> WOAH as the global leader in veterinary medicines regulatory capacity-building and standard-setting.</w:t>
      </w:r>
    </w:p>
    <w:p w14:paraId="491BBBF3" w14:textId="77777777" w:rsidR="00EB53CB" w:rsidRPr="00246161" w:rsidRDefault="00000000">
      <w:pPr>
        <w:pStyle w:val="Heading2"/>
      </w:pPr>
      <w:r w:rsidRPr="00246161">
        <w:lastRenderedPageBreak/>
        <w:t>The Path to Adoption</w:t>
      </w:r>
    </w:p>
    <w:p w14:paraId="491BBBF4" w14:textId="77777777" w:rsidR="00EB53CB" w:rsidRPr="00246161" w:rsidRDefault="00000000">
      <w:pPr>
        <w:pStyle w:val="ListParagraph"/>
        <w:numPr>
          <w:ilvl w:val="0"/>
          <w:numId w:val="2"/>
        </w:numPr>
        <w:spacing w:after="80"/>
        <w:jc w:val="both"/>
      </w:pPr>
      <w:r w:rsidRPr="00246161">
        <w:t>May 2026: Side event at the 93rd General Session to introduce the VMRA-SAT to Delegates.</w:t>
      </w:r>
    </w:p>
    <w:p w14:paraId="491BBBF5" w14:textId="77777777" w:rsidR="00EB53CB" w:rsidRPr="00246161" w:rsidRDefault="00000000">
      <w:pPr>
        <w:pStyle w:val="ListParagraph"/>
        <w:numPr>
          <w:ilvl w:val="0"/>
          <w:numId w:val="2"/>
        </w:numPr>
        <w:spacing w:after="80"/>
        <w:jc w:val="both"/>
      </w:pPr>
      <w:r w:rsidRPr="00246161">
        <w:t>2026–2027: Regional presentations, stakeholder consultation, and evidence consolidation.</w:t>
      </w:r>
    </w:p>
    <w:p w14:paraId="491BBBF6" w14:textId="77777777" w:rsidR="00EB53CB" w:rsidRPr="00246161" w:rsidRDefault="00000000">
      <w:pPr>
        <w:pStyle w:val="ListParagraph"/>
        <w:numPr>
          <w:ilvl w:val="0"/>
          <w:numId w:val="2"/>
        </w:numPr>
        <w:spacing w:after="80"/>
        <w:jc w:val="both"/>
      </w:pPr>
      <w:r w:rsidRPr="00246161">
        <w:t>May 2027: Resolution presented to the World Assembly of Delegates at the 94th General Session.</w:t>
      </w:r>
    </w:p>
    <w:p w14:paraId="491BBBF7" w14:textId="77777777" w:rsidR="00EB53CB" w:rsidRPr="00246161" w:rsidRDefault="00EB53CB">
      <w:pPr>
        <w:spacing w:before="200" w:after="160"/>
        <w:jc w:val="both"/>
      </w:pPr>
    </w:p>
    <w:p w14:paraId="491BBBF8" w14:textId="77777777" w:rsidR="00EB53CB" w:rsidRPr="00246161" w:rsidRDefault="00000000">
      <w:pPr>
        <w:spacing w:after="40"/>
        <w:jc w:val="center"/>
      </w:pPr>
      <w:r w:rsidRPr="00246161">
        <w:rPr>
          <w:color w:val="CCCCCC"/>
          <w:sz w:val="18"/>
          <w:szCs w:val="18"/>
        </w:rPr>
        <w:t>──────────────────────────────────────────────────</w:t>
      </w:r>
    </w:p>
    <w:p w14:paraId="491BBBF9" w14:textId="262E93F8" w:rsidR="00EB53CB" w:rsidRPr="00246161" w:rsidRDefault="00000000">
      <w:pPr>
        <w:spacing w:after="160"/>
        <w:jc w:val="center"/>
      </w:pPr>
      <w:r w:rsidRPr="00246161">
        <w:rPr>
          <w:b/>
          <w:bCs/>
          <w:color w:val="2E75B6"/>
        </w:rPr>
        <w:t xml:space="preserve">For more information, visit the VMRA-SAT website: </w:t>
      </w:r>
      <w:hyperlink r:id="rId7" w:history="1">
        <w:r w:rsidR="008E5E68" w:rsidRPr="007235D4">
          <w:rPr>
            <w:rStyle w:val="Hyperlink"/>
            <w:b/>
            <w:bCs/>
          </w:rPr>
          <w:t>www.vmra-sat.org</w:t>
        </w:r>
      </w:hyperlink>
      <w:r w:rsidR="008E5E68">
        <w:rPr>
          <w:b/>
          <w:bCs/>
          <w:color w:val="2E75B6"/>
        </w:rPr>
        <w:t xml:space="preserve"> </w:t>
      </w:r>
    </w:p>
    <w:p w14:paraId="491BBBFA" w14:textId="215DDC9F" w:rsidR="00EB53CB" w:rsidRDefault="00000000">
      <w:pPr>
        <w:spacing w:after="160"/>
        <w:jc w:val="center"/>
      </w:pPr>
      <w:r w:rsidRPr="00246161">
        <w:rPr>
          <w:color w:val="555555"/>
        </w:rPr>
        <w:t xml:space="preserve">Contact: </w:t>
      </w:r>
      <w:r w:rsidR="008E5E68">
        <w:rPr>
          <w:color w:val="555555"/>
        </w:rPr>
        <w:t>info@vmra-sat.org</w:t>
      </w:r>
    </w:p>
    <w:sectPr w:rsidR="00EB53CB">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124D" w14:textId="77777777" w:rsidR="00D54084" w:rsidRPr="00246161" w:rsidRDefault="00D54084">
      <w:r w:rsidRPr="00246161">
        <w:separator/>
      </w:r>
    </w:p>
  </w:endnote>
  <w:endnote w:type="continuationSeparator" w:id="0">
    <w:p w14:paraId="47F5C463" w14:textId="77777777" w:rsidR="00D54084" w:rsidRPr="00246161" w:rsidRDefault="00D54084">
      <w:r w:rsidRPr="002461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BFC" w14:textId="77777777" w:rsidR="00EB53CB" w:rsidRPr="00246161" w:rsidRDefault="00000000">
    <w:pPr>
      <w:pBdr>
        <w:top w:val="single" w:sz="2" w:space="4" w:color="CCCCCC"/>
      </w:pBdr>
      <w:jc w:val="right"/>
    </w:pPr>
    <w:r w:rsidRPr="00246161">
      <w:rPr>
        <w:color w:val="999999"/>
        <w:sz w:val="14"/>
        <w:szCs w:val="14"/>
      </w:rPr>
      <w:t>VMRA-SAT Policy Brief |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C232" w14:textId="77777777" w:rsidR="00D54084" w:rsidRPr="00246161" w:rsidRDefault="00D54084">
      <w:r w:rsidRPr="00246161">
        <w:separator/>
      </w:r>
    </w:p>
  </w:footnote>
  <w:footnote w:type="continuationSeparator" w:id="0">
    <w:p w14:paraId="403C74D8" w14:textId="77777777" w:rsidR="00D54084" w:rsidRPr="00246161" w:rsidRDefault="00D54084">
      <w:r w:rsidRPr="002461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BFB" w14:textId="77777777" w:rsidR="00EB53CB" w:rsidRPr="00246161" w:rsidRDefault="00000000">
    <w:pPr>
      <w:pBdr>
        <w:bottom w:val="single" w:sz="4" w:space="4" w:color="1F4E79"/>
      </w:pBdr>
    </w:pPr>
    <w:r w:rsidRPr="00246161">
      <w:rPr>
        <w:b/>
        <w:bCs/>
        <w:color w:val="1F4E79"/>
        <w:sz w:val="16"/>
        <w:szCs w:val="16"/>
      </w:rPr>
      <w:t>VMRA-SAT | Policy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2840"/>
    <w:multiLevelType w:val="hybridMultilevel"/>
    <w:tmpl w:val="C1CE8F04"/>
    <w:lvl w:ilvl="0" w:tplc="04660FCE">
      <w:start w:val="1"/>
      <w:numFmt w:val="decimal"/>
      <w:lvlText w:val="%1."/>
      <w:lvlJc w:val="left"/>
      <w:pPr>
        <w:ind w:left="720" w:hanging="360"/>
      </w:pPr>
    </w:lvl>
    <w:lvl w:ilvl="1" w:tplc="BA2C9A3A">
      <w:numFmt w:val="decimal"/>
      <w:lvlText w:val=""/>
      <w:lvlJc w:val="left"/>
    </w:lvl>
    <w:lvl w:ilvl="2" w:tplc="424259AC">
      <w:numFmt w:val="decimal"/>
      <w:lvlText w:val=""/>
      <w:lvlJc w:val="left"/>
    </w:lvl>
    <w:lvl w:ilvl="3" w:tplc="AC6EA346">
      <w:numFmt w:val="decimal"/>
      <w:lvlText w:val=""/>
      <w:lvlJc w:val="left"/>
    </w:lvl>
    <w:lvl w:ilvl="4" w:tplc="524A673A">
      <w:numFmt w:val="decimal"/>
      <w:lvlText w:val=""/>
      <w:lvlJc w:val="left"/>
    </w:lvl>
    <w:lvl w:ilvl="5" w:tplc="94725FFE">
      <w:numFmt w:val="decimal"/>
      <w:lvlText w:val=""/>
      <w:lvlJc w:val="left"/>
    </w:lvl>
    <w:lvl w:ilvl="6" w:tplc="110A279E">
      <w:numFmt w:val="decimal"/>
      <w:lvlText w:val=""/>
      <w:lvlJc w:val="left"/>
    </w:lvl>
    <w:lvl w:ilvl="7" w:tplc="5BD8E866">
      <w:numFmt w:val="decimal"/>
      <w:lvlText w:val=""/>
      <w:lvlJc w:val="left"/>
    </w:lvl>
    <w:lvl w:ilvl="8" w:tplc="10DE88F4">
      <w:numFmt w:val="decimal"/>
      <w:lvlText w:val=""/>
      <w:lvlJc w:val="left"/>
    </w:lvl>
  </w:abstractNum>
  <w:abstractNum w:abstractNumId="1" w15:restartNumberingAfterBreak="0">
    <w:nsid w:val="47FB361E"/>
    <w:multiLevelType w:val="hybridMultilevel"/>
    <w:tmpl w:val="96E41262"/>
    <w:lvl w:ilvl="0" w:tplc="8D72D430">
      <w:start w:val="1"/>
      <w:numFmt w:val="bullet"/>
      <w:lvlText w:val="●"/>
      <w:lvlJc w:val="left"/>
      <w:pPr>
        <w:ind w:left="720" w:hanging="360"/>
      </w:pPr>
    </w:lvl>
    <w:lvl w:ilvl="1" w:tplc="BE7E8156">
      <w:start w:val="1"/>
      <w:numFmt w:val="bullet"/>
      <w:lvlText w:val="○"/>
      <w:lvlJc w:val="left"/>
      <w:pPr>
        <w:ind w:left="1440" w:hanging="360"/>
      </w:pPr>
    </w:lvl>
    <w:lvl w:ilvl="2" w:tplc="26D65904">
      <w:start w:val="1"/>
      <w:numFmt w:val="bullet"/>
      <w:lvlText w:val="■"/>
      <w:lvlJc w:val="left"/>
      <w:pPr>
        <w:ind w:left="2160" w:hanging="360"/>
      </w:pPr>
    </w:lvl>
    <w:lvl w:ilvl="3" w:tplc="48E843EE">
      <w:start w:val="1"/>
      <w:numFmt w:val="bullet"/>
      <w:lvlText w:val="●"/>
      <w:lvlJc w:val="left"/>
      <w:pPr>
        <w:ind w:left="2880" w:hanging="360"/>
      </w:pPr>
    </w:lvl>
    <w:lvl w:ilvl="4" w:tplc="91DAC0C2">
      <w:start w:val="1"/>
      <w:numFmt w:val="bullet"/>
      <w:lvlText w:val="○"/>
      <w:lvlJc w:val="left"/>
      <w:pPr>
        <w:ind w:left="3600" w:hanging="360"/>
      </w:pPr>
    </w:lvl>
    <w:lvl w:ilvl="5" w:tplc="6A603E32">
      <w:start w:val="1"/>
      <w:numFmt w:val="bullet"/>
      <w:lvlText w:val="■"/>
      <w:lvlJc w:val="left"/>
      <w:pPr>
        <w:ind w:left="4320" w:hanging="360"/>
      </w:pPr>
    </w:lvl>
    <w:lvl w:ilvl="6" w:tplc="6EE8219E">
      <w:start w:val="1"/>
      <w:numFmt w:val="bullet"/>
      <w:lvlText w:val="●"/>
      <w:lvlJc w:val="left"/>
      <w:pPr>
        <w:ind w:left="5040" w:hanging="360"/>
      </w:pPr>
    </w:lvl>
    <w:lvl w:ilvl="7" w:tplc="FD2C29CC">
      <w:start w:val="1"/>
      <w:numFmt w:val="bullet"/>
      <w:lvlText w:val="●"/>
      <w:lvlJc w:val="left"/>
      <w:pPr>
        <w:ind w:left="5760" w:hanging="360"/>
      </w:pPr>
    </w:lvl>
    <w:lvl w:ilvl="8" w:tplc="FA44B2D0">
      <w:start w:val="1"/>
      <w:numFmt w:val="bullet"/>
      <w:lvlText w:val="●"/>
      <w:lvlJc w:val="left"/>
      <w:pPr>
        <w:ind w:left="6480" w:hanging="360"/>
      </w:pPr>
    </w:lvl>
  </w:abstractNum>
  <w:abstractNum w:abstractNumId="2" w15:restartNumberingAfterBreak="0">
    <w:nsid w:val="4D586F94"/>
    <w:multiLevelType w:val="hybridMultilevel"/>
    <w:tmpl w:val="C04800B4"/>
    <w:lvl w:ilvl="0" w:tplc="6B46E1BE">
      <w:start w:val="1"/>
      <w:numFmt w:val="bullet"/>
      <w:lvlText w:val="•"/>
      <w:lvlJc w:val="left"/>
      <w:pPr>
        <w:ind w:left="720" w:hanging="360"/>
      </w:pPr>
    </w:lvl>
    <w:lvl w:ilvl="1" w:tplc="E9EA49EA">
      <w:start w:val="1"/>
      <w:numFmt w:val="bullet"/>
      <w:lvlText w:val="–"/>
      <w:lvlJc w:val="left"/>
      <w:pPr>
        <w:ind w:left="1080" w:hanging="360"/>
      </w:pPr>
    </w:lvl>
    <w:lvl w:ilvl="2" w:tplc="2292A26A">
      <w:numFmt w:val="decimal"/>
      <w:lvlText w:val=""/>
      <w:lvlJc w:val="left"/>
    </w:lvl>
    <w:lvl w:ilvl="3" w:tplc="5F1AC0AA">
      <w:numFmt w:val="decimal"/>
      <w:lvlText w:val=""/>
      <w:lvlJc w:val="left"/>
    </w:lvl>
    <w:lvl w:ilvl="4" w:tplc="CBCA8710">
      <w:numFmt w:val="decimal"/>
      <w:lvlText w:val=""/>
      <w:lvlJc w:val="left"/>
    </w:lvl>
    <w:lvl w:ilvl="5" w:tplc="FB8CB67A">
      <w:numFmt w:val="decimal"/>
      <w:lvlText w:val=""/>
      <w:lvlJc w:val="left"/>
    </w:lvl>
    <w:lvl w:ilvl="6" w:tplc="1F8EDCBE">
      <w:numFmt w:val="decimal"/>
      <w:lvlText w:val=""/>
      <w:lvlJc w:val="left"/>
    </w:lvl>
    <w:lvl w:ilvl="7" w:tplc="19BA6B2A">
      <w:numFmt w:val="decimal"/>
      <w:lvlText w:val=""/>
      <w:lvlJc w:val="left"/>
    </w:lvl>
    <w:lvl w:ilvl="8" w:tplc="92DA426A">
      <w:numFmt w:val="decimal"/>
      <w:lvlText w:val=""/>
      <w:lvlJc w:val="left"/>
    </w:lvl>
  </w:abstractNum>
  <w:num w:numId="1" w16cid:durableId="655959128">
    <w:abstractNumId w:val="1"/>
    <w:lvlOverride w:ilvl="0">
      <w:startOverride w:val="1"/>
    </w:lvlOverride>
  </w:num>
  <w:num w:numId="2" w16cid:durableId="190305416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CB"/>
    <w:rsid w:val="00054C6F"/>
    <w:rsid w:val="00071DE0"/>
    <w:rsid w:val="000C7EF8"/>
    <w:rsid w:val="000D4F80"/>
    <w:rsid w:val="00123E78"/>
    <w:rsid w:val="00185BD1"/>
    <w:rsid w:val="00246161"/>
    <w:rsid w:val="002B3B18"/>
    <w:rsid w:val="002F56DC"/>
    <w:rsid w:val="00303F68"/>
    <w:rsid w:val="0037312C"/>
    <w:rsid w:val="00384145"/>
    <w:rsid w:val="003E3EA9"/>
    <w:rsid w:val="00543423"/>
    <w:rsid w:val="005D648C"/>
    <w:rsid w:val="005E2B77"/>
    <w:rsid w:val="0065257E"/>
    <w:rsid w:val="00761B1E"/>
    <w:rsid w:val="00801070"/>
    <w:rsid w:val="00805A27"/>
    <w:rsid w:val="008E5E68"/>
    <w:rsid w:val="0091045D"/>
    <w:rsid w:val="00917C44"/>
    <w:rsid w:val="00A71B14"/>
    <w:rsid w:val="00AA4E6B"/>
    <w:rsid w:val="00B46394"/>
    <w:rsid w:val="00C03E55"/>
    <w:rsid w:val="00C91CF1"/>
    <w:rsid w:val="00D41162"/>
    <w:rsid w:val="00D54084"/>
    <w:rsid w:val="00E745E9"/>
    <w:rsid w:val="00EB53CB"/>
    <w:rsid w:val="00F53026"/>
    <w:rsid w:val="00FF5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BBB1"/>
  <w15:docId w15:val="{7E77870E-94B4-4EB0-97BC-F11D1774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60"/>
      <w:outlineLvl w:val="0"/>
    </w:pPr>
    <w:rPr>
      <w:b/>
      <w:bCs/>
      <w:color w:val="1F4E79"/>
      <w:sz w:val="30"/>
      <w:szCs w:val="30"/>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semiHidden/>
    <w:unhideWhenUsed/>
    <w:rsid w:val="002F56DC"/>
    <w:pPr>
      <w:tabs>
        <w:tab w:val="center" w:pos="4513"/>
        <w:tab w:val="right" w:pos="9026"/>
      </w:tabs>
    </w:pPr>
  </w:style>
  <w:style w:type="character" w:customStyle="1" w:styleId="HeaderChar">
    <w:name w:val="Header Char"/>
    <w:basedOn w:val="DefaultParagraphFont"/>
    <w:link w:val="Header"/>
    <w:uiPriority w:val="99"/>
    <w:semiHidden/>
    <w:rsid w:val="002F56DC"/>
  </w:style>
  <w:style w:type="paragraph" w:styleId="Footer">
    <w:name w:val="footer"/>
    <w:basedOn w:val="Normal"/>
    <w:link w:val="FooterChar"/>
    <w:uiPriority w:val="99"/>
    <w:semiHidden/>
    <w:unhideWhenUsed/>
    <w:rsid w:val="002F56DC"/>
    <w:pPr>
      <w:tabs>
        <w:tab w:val="center" w:pos="4513"/>
        <w:tab w:val="right" w:pos="9026"/>
      </w:tabs>
    </w:pPr>
  </w:style>
  <w:style w:type="character" w:customStyle="1" w:styleId="FooterChar">
    <w:name w:val="Footer Char"/>
    <w:basedOn w:val="DefaultParagraphFont"/>
    <w:link w:val="Footer"/>
    <w:uiPriority w:val="99"/>
    <w:semiHidden/>
    <w:rsid w:val="002F56DC"/>
  </w:style>
  <w:style w:type="character" w:styleId="UnresolvedMention">
    <w:name w:val="Unresolved Mention"/>
    <w:basedOn w:val="DefaultParagraphFont"/>
    <w:uiPriority w:val="99"/>
    <w:semiHidden/>
    <w:unhideWhenUsed/>
    <w:rsid w:val="008E5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vmra-sat.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B6B9A09050A49826285FAA16FD75A" ma:contentTypeVersion="19" ma:contentTypeDescription="Create a new document." ma:contentTypeScope="" ma:versionID="a6ec7ae8b1c61f332a5340775a352cba">
  <xsd:schema xmlns:xsd="http://www.w3.org/2001/XMLSchema" xmlns:xs="http://www.w3.org/2001/XMLSchema" xmlns:p="http://schemas.microsoft.com/office/2006/metadata/properties" xmlns:ns2="6c20a8d8-d9c5-40db-a67b-542cd1bfe50a" xmlns:ns3="eea131c1-405e-451f-9c55-faa3e1b28c97" targetNamespace="http://schemas.microsoft.com/office/2006/metadata/properties" ma:root="true" ma:fieldsID="cbf604b1471ad0b584c65e40cbf2dda8" ns2:_="" ns3:_="">
    <xsd:import namespace="6c20a8d8-d9c5-40db-a67b-542cd1bfe50a"/>
    <xsd:import namespace="eea131c1-405e-451f-9c55-faa3e1b28c97"/>
    <xsd:element name="properties">
      <xsd:complexType>
        <xsd:sequence>
          <xsd:element name="documentManagement">
            <xsd:complexType>
              <xsd:all>
                <xsd:element ref="ns2:ob349cf5655c49da8840df59ca8210fb" minOccurs="0"/>
                <xsd:element ref="ns3:TaxCatchAll" minOccurs="0"/>
                <xsd:element ref="ns2:OldFMSNo" minOccurs="0"/>
                <xsd:element ref="ns2:OldDMNo"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0a8d8-d9c5-40db-a67b-542cd1bfe50a" elementFormDefault="qualified">
    <xsd:import namespace="http://schemas.microsoft.com/office/2006/documentManagement/types"/>
    <xsd:import namespace="http://schemas.microsoft.com/office/infopath/2007/PartnerControls"/>
    <xsd:element name="ob349cf5655c49da8840df59ca8210fb" ma:index="9" nillable="true" ma:taxonomy="true" ma:internalName="ob349cf5655c49da8840df59ca8210fb" ma:taxonomyFieldName="Business_x0020_Area" ma:displayName="Business Area" ma:default="" ma:fieldId="{8b349cf5-655c-49da-8840-df59ca8210fb}" ma:sspId="c1e1e48c-0f67-481a-a26f-fe0fffedcfeb" ma:termSetId="fe0a31c8-9558-4b6e-92da-51623f81c435" ma:anchorId="00000000-0000-0000-0000-000000000000" ma:open="false" ma:isKeyword="false">
      <xsd:complexType>
        <xsd:sequence>
          <xsd:element ref="pc:Terms" minOccurs="0" maxOccurs="1"/>
        </xsd:sequence>
      </xsd:complexType>
    </xsd:element>
    <xsd:element name="OldFMSNo" ma:index="11" nillable="true" ma:displayName="Old FMS No" ma:description="Legacy document reference number from FMS (File Management System)" ma:format="Dropdown" ma:internalName="OldFMSNo">
      <xsd:simpleType>
        <xsd:restriction base="dms:Text">
          <xsd:maxLength value="20"/>
        </xsd:restriction>
      </xsd:simpleType>
    </xsd:element>
    <xsd:element name="OldDMNo" ma:index="12" nillable="true" ma:displayName="Old DM No" ma:decimals="0" ma:description="Legacy Document Management (DM) number" ma:format="Dropdown" ma:indexed="true" ma:internalName="OldDMNo"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e1e48c-0f67-481a-a26f-fe0fffedcf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a131c1-405e-451f-9c55-faa3e1b28c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11ba81-dc3a-45ba-8a55-dfc6330ca132}" ma:internalName="TaxCatchAll" ma:showField="CatchAllData" ma:web="eea131c1-405e-451f-9c55-faa3e1b28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20a8d8-d9c5-40db-a67b-542cd1bfe50a">
      <Terms xmlns="http://schemas.microsoft.com/office/infopath/2007/PartnerControls"/>
    </lcf76f155ced4ddcb4097134ff3c332f>
    <OldDMNo xmlns="6c20a8d8-d9c5-40db-a67b-542cd1bfe50a" xsi:nil="true"/>
    <OldFMSNo xmlns="6c20a8d8-d9c5-40db-a67b-542cd1bfe50a" xsi:nil="true"/>
    <ob349cf5655c49da8840df59ca8210fb xmlns="6c20a8d8-d9c5-40db-a67b-542cd1bfe50a">
      <Terms xmlns="http://schemas.microsoft.com/office/infopath/2007/PartnerControls"/>
    </ob349cf5655c49da8840df59ca8210fb>
    <TaxCatchAll xmlns="eea131c1-405e-451f-9c55-faa3e1b28c97" xsi:nil="true"/>
  </documentManagement>
</p:properties>
</file>

<file path=customXml/itemProps1.xml><?xml version="1.0" encoding="utf-8"?>
<ds:datastoreItem xmlns:ds="http://schemas.openxmlformats.org/officeDocument/2006/customXml" ds:itemID="{EAAF1EBC-06ED-4824-9A4F-74682BC46E15}"/>
</file>

<file path=customXml/itemProps2.xml><?xml version="1.0" encoding="utf-8"?>
<ds:datastoreItem xmlns:ds="http://schemas.openxmlformats.org/officeDocument/2006/customXml" ds:itemID="{55E594F7-B3F4-4198-B668-B1A7C5D8C496}"/>
</file>

<file path=customXml/itemProps3.xml><?xml version="1.0" encoding="utf-8"?>
<ds:datastoreItem xmlns:ds="http://schemas.openxmlformats.org/officeDocument/2006/customXml" ds:itemID="{D4F8ED29-F241-4C15-99B6-6BEF8415BD28}"/>
</file>

<file path=docMetadata/LabelInfo.xml><?xml version="1.0" encoding="utf-8"?>
<clbl:labelList xmlns:clbl="http://schemas.microsoft.com/office/2020/mipLabelMetadata">
  <clbl:label id="{2860a19c-c7a4-4d82-b410-1cf24ec1aad2}" enabled="1" method="Standard" siteId="{af4da980-4af8-4d32-a4ef-4c59ffe06ef4}"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n.joseph@vmd.gov.uk</dc:creator>
  <cp:lastModifiedBy>Noel Joseph</cp:lastModifiedBy>
  <cp:revision>30</cp:revision>
  <dcterms:created xsi:type="dcterms:W3CDTF">2026-03-23T15:54:00Z</dcterms:created>
  <dcterms:modified xsi:type="dcterms:W3CDTF">2026-05-28T16:19:00Z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0x010100BB4B6B9A09050A49826285FAA16FD75A</vt:lpwstr>
  </property>
</Properties>
</file>